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299" w:rsidRDefault="00D37299" w:rsidP="00D37299">
      <w:pPr>
        <w:rPr>
          <w:rFonts w:ascii="inherit" w:hAnsi="inherit"/>
          <w:color w:val="050505"/>
          <w:sz w:val="20"/>
        </w:rPr>
      </w:pPr>
      <w:r>
        <w:rPr>
          <w:rFonts w:ascii="inherit" w:hAnsi="inherit"/>
          <w:color w:val="050505"/>
          <w:sz w:val="20"/>
        </w:rPr>
        <w:t>[DATE]</w:t>
      </w:r>
    </w:p>
    <w:p w:rsidR="00D37299" w:rsidRPr="008A5EDC" w:rsidRDefault="00D37299" w:rsidP="00D37299">
      <w:pPr>
        <w:rPr>
          <w:rFonts w:ascii="inherit" w:hAnsi="inherit"/>
          <w:color w:val="050505"/>
          <w:sz w:val="20"/>
        </w:rPr>
      </w:pPr>
    </w:p>
    <w:p w:rsidR="00D37299" w:rsidRPr="008A5EDC" w:rsidRDefault="00D37299" w:rsidP="00D37299">
      <w:pPr>
        <w:rPr>
          <w:rFonts w:ascii="inherit" w:hAnsi="inherit"/>
          <w:color w:val="050505"/>
          <w:sz w:val="20"/>
        </w:rPr>
      </w:pPr>
      <w:r w:rsidRPr="008A5EDC">
        <w:rPr>
          <w:rFonts w:ascii="inherit" w:hAnsi="inherit"/>
          <w:color w:val="050505"/>
          <w:sz w:val="20"/>
        </w:rPr>
        <w:t>Assembly Member Laura Friedman, Chair</w:t>
      </w:r>
    </w:p>
    <w:p w:rsidR="00D37299" w:rsidRPr="008A5EDC" w:rsidRDefault="00D37299" w:rsidP="00D37299">
      <w:pPr>
        <w:rPr>
          <w:rFonts w:ascii="inherit" w:hAnsi="inherit"/>
          <w:color w:val="050505"/>
          <w:sz w:val="20"/>
        </w:rPr>
      </w:pPr>
      <w:r w:rsidRPr="008A5EDC">
        <w:rPr>
          <w:rFonts w:ascii="inherit" w:hAnsi="inherit"/>
          <w:color w:val="050505"/>
          <w:sz w:val="20"/>
        </w:rPr>
        <w:t>Assembly Transportation Committee</w:t>
      </w:r>
    </w:p>
    <w:p w:rsidR="00D37299" w:rsidRPr="008A5EDC" w:rsidRDefault="00D37299" w:rsidP="00D37299">
      <w:pPr>
        <w:rPr>
          <w:rFonts w:ascii="inherit" w:hAnsi="inherit"/>
          <w:color w:val="050505"/>
          <w:sz w:val="20"/>
        </w:rPr>
      </w:pPr>
      <w:r w:rsidRPr="008A5EDC">
        <w:rPr>
          <w:rFonts w:ascii="inherit" w:hAnsi="inherit"/>
          <w:color w:val="050505"/>
          <w:sz w:val="20"/>
        </w:rPr>
        <w:t>Capitol Office, Room 6011</w:t>
      </w:r>
    </w:p>
    <w:p w:rsidR="00D37299" w:rsidRDefault="00D37299" w:rsidP="00D37299">
      <w:pPr>
        <w:rPr>
          <w:rFonts w:ascii="inherit" w:hAnsi="inherit"/>
          <w:color w:val="050505"/>
          <w:sz w:val="20"/>
        </w:rPr>
      </w:pPr>
      <w:r w:rsidRPr="008A5EDC">
        <w:rPr>
          <w:rFonts w:ascii="inherit" w:hAnsi="inherit"/>
          <w:color w:val="050505"/>
          <w:sz w:val="20"/>
        </w:rPr>
        <w:t>P.O. Box 942849, Sacramento, CA 94249-0043</w:t>
      </w:r>
    </w:p>
    <w:p w:rsidR="00D37299" w:rsidRPr="008A5EDC" w:rsidRDefault="00D37299" w:rsidP="00D37299">
      <w:pPr>
        <w:rPr>
          <w:rFonts w:ascii="inherit" w:hAnsi="inherit"/>
          <w:color w:val="050505"/>
          <w:sz w:val="20"/>
        </w:rPr>
      </w:pPr>
    </w:p>
    <w:p w:rsidR="00D37299" w:rsidRDefault="00D37299" w:rsidP="00D37299">
      <w:pPr>
        <w:rPr>
          <w:rFonts w:ascii="inherit" w:hAnsi="inherit"/>
          <w:color w:val="050505"/>
          <w:sz w:val="20"/>
        </w:rPr>
      </w:pPr>
      <w:r w:rsidRPr="008A5EDC">
        <w:rPr>
          <w:rFonts w:ascii="inherit" w:hAnsi="inherit"/>
          <w:color w:val="050505"/>
          <w:sz w:val="20"/>
        </w:rPr>
        <w:t>RE: SB 287 (Grove) – Recreational Trailers Licensing – Support</w:t>
      </w:r>
    </w:p>
    <w:p w:rsidR="00D37299" w:rsidRPr="008A5EDC" w:rsidRDefault="00D37299" w:rsidP="00D37299">
      <w:pPr>
        <w:rPr>
          <w:rFonts w:ascii="inherit" w:hAnsi="inherit"/>
          <w:color w:val="050505"/>
          <w:sz w:val="20"/>
        </w:rPr>
      </w:pPr>
    </w:p>
    <w:p w:rsidR="00D37299" w:rsidRDefault="00D37299" w:rsidP="00D37299">
      <w:pPr>
        <w:rPr>
          <w:rFonts w:ascii="inherit" w:hAnsi="inherit"/>
          <w:color w:val="050505"/>
          <w:sz w:val="20"/>
        </w:rPr>
      </w:pPr>
      <w:r w:rsidRPr="008A5EDC">
        <w:rPr>
          <w:rFonts w:ascii="inherit" w:hAnsi="inherit"/>
          <w:color w:val="050505"/>
          <w:sz w:val="20"/>
        </w:rPr>
        <w:t>Dear Assembly Member Friedman:</w:t>
      </w:r>
    </w:p>
    <w:p w:rsidR="00D37299" w:rsidRPr="008A5EDC" w:rsidRDefault="00D37299" w:rsidP="00D37299">
      <w:pPr>
        <w:rPr>
          <w:rFonts w:ascii="inherit" w:hAnsi="inherit"/>
          <w:color w:val="050505"/>
          <w:sz w:val="20"/>
        </w:rPr>
      </w:pPr>
    </w:p>
    <w:p w:rsidR="00D37299" w:rsidRDefault="00D37299" w:rsidP="00D37299">
      <w:pPr>
        <w:rPr>
          <w:rFonts w:ascii="inherit" w:hAnsi="inherit"/>
          <w:color w:val="050505"/>
          <w:sz w:val="20"/>
        </w:rPr>
      </w:pPr>
      <w:r w:rsidRPr="008A5EDC">
        <w:rPr>
          <w:rFonts w:ascii="inherit" w:hAnsi="inherit"/>
          <w:color w:val="050505"/>
          <w:sz w:val="20"/>
        </w:rPr>
        <w:t>I am writing in support of SB 287. The bill would consolidate most recreational trailers under the Class C license and allow recreationalists and horse enthusiasts to tow their weekend trailers without having to undergo unnecessary verification and exorbitant fees that were intended for industries heaviest commercial trailers.</w:t>
      </w:r>
    </w:p>
    <w:p w:rsidR="00D37299" w:rsidRPr="008A5EDC" w:rsidRDefault="00D37299" w:rsidP="00D37299">
      <w:pPr>
        <w:rPr>
          <w:rFonts w:ascii="inherit" w:hAnsi="inherit"/>
          <w:color w:val="050505"/>
          <w:sz w:val="20"/>
        </w:rPr>
      </w:pPr>
    </w:p>
    <w:p w:rsidR="00D37299" w:rsidRDefault="00D37299" w:rsidP="00D37299">
      <w:pPr>
        <w:rPr>
          <w:rFonts w:ascii="inherit" w:hAnsi="inherit"/>
          <w:color w:val="050505"/>
          <w:sz w:val="20"/>
        </w:rPr>
      </w:pPr>
      <w:r w:rsidRPr="008A5EDC">
        <w:rPr>
          <w:rFonts w:ascii="inherit" w:hAnsi="inherit"/>
          <w:color w:val="050505"/>
          <w:sz w:val="20"/>
        </w:rPr>
        <w:t xml:space="preserve">If a driver decides to take their horse trailer with living quarters out for a weekend excursion, currently they can tow it with a Class C license, if it has a GVWR (gross vehicle weight rating) or gross vehicle weight (GVW) under 10,000 pounds. However, the moment the trailer weighs one pound more, that same driver would be required to tow with a Class A license. This means that an individual would have to pass a medical examination, 10-year history check, and pay the same fees that a commercial driver must pay. </w:t>
      </w:r>
    </w:p>
    <w:p w:rsidR="00D37299" w:rsidRPr="008A5EDC" w:rsidRDefault="00D37299" w:rsidP="00D37299">
      <w:pPr>
        <w:rPr>
          <w:rFonts w:ascii="inherit" w:hAnsi="inherit"/>
          <w:color w:val="050505"/>
          <w:sz w:val="20"/>
        </w:rPr>
      </w:pPr>
    </w:p>
    <w:p w:rsidR="00D37299" w:rsidRDefault="00D37299" w:rsidP="00D37299">
      <w:pPr>
        <w:rPr>
          <w:rFonts w:ascii="inherit" w:hAnsi="inherit"/>
          <w:color w:val="050505"/>
          <w:sz w:val="20"/>
        </w:rPr>
      </w:pPr>
      <w:r w:rsidRPr="008A5EDC">
        <w:rPr>
          <w:rFonts w:ascii="inherit" w:hAnsi="inherit"/>
          <w:color w:val="050505"/>
          <w:sz w:val="20"/>
        </w:rPr>
        <w:t>All the while, that same driver could tow a toy hauler or fifth-wheel travel trailer weighing 14,000 pounds to the same destination and for the same weekend excursion simply with a Class C license with a recreational trailer endorsement.</w:t>
      </w:r>
    </w:p>
    <w:p w:rsidR="00D37299" w:rsidRPr="008A5EDC" w:rsidRDefault="00D37299" w:rsidP="00D37299">
      <w:pPr>
        <w:rPr>
          <w:rFonts w:ascii="inherit" w:hAnsi="inherit"/>
          <w:color w:val="050505"/>
          <w:sz w:val="20"/>
        </w:rPr>
      </w:pPr>
    </w:p>
    <w:p w:rsidR="00D37299" w:rsidRDefault="00D37299" w:rsidP="00D37299">
      <w:pPr>
        <w:rPr>
          <w:rFonts w:ascii="inherit" w:hAnsi="inherit"/>
          <w:color w:val="050505"/>
          <w:sz w:val="20"/>
        </w:rPr>
      </w:pPr>
      <w:r w:rsidRPr="008A5EDC">
        <w:rPr>
          <w:rFonts w:ascii="inherit" w:hAnsi="inherit"/>
          <w:color w:val="050505"/>
          <w:sz w:val="20"/>
        </w:rPr>
        <w:t>SB 287 will level the playing field and give peace of mind to California’s horse enthusiasts and recreationalists by ensuring that families are able to safely operate their recreational trailers without fear of penalties or being impounded. I respectfully ask you to support SB 287 when it is heard in your committee. Thank you for your consideration.</w:t>
      </w:r>
    </w:p>
    <w:p w:rsidR="00D37299" w:rsidRPr="008A5EDC" w:rsidRDefault="00D37299" w:rsidP="00D37299">
      <w:pPr>
        <w:rPr>
          <w:rFonts w:ascii="inherit" w:hAnsi="inherit"/>
          <w:color w:val="050505"/>
          <w:sz w:val="20"/>
        </w:rPr>
      </w:pPr>
    </w:p>
    <w:p w:rsidR="00D37299" w:rsidRPr="008A5EDC" w:rsidRDefault="00D37299" w:rsidP="00D37299">
      <w:pPr>
        <w:rPr>
          <w:rFonts w:ascii="inherit" w:hAnsi="inherit"/>
          <w:color w:val="050505"/>
          <w:sz w:val="20"/>
        </w:rPr>
      </w:pPr>
      <w:r w:rsidRPr="008A5EDC">
        <w:rPr>
          <w:rFonts w:ascii="inherit" w:hAnsi="inherit"/>
          <w:color w:val="050505"/>
          <w:sz w:val="20"/>
        </w:rPr>
        <w:t>Sincerely,</w:t>
      </w:r>
    </w:p>
    <w:p w:rsidR="00D37299" w:rsidRDefault="00D37299" w:rsidP="00D37299">
      <w:pPr>
        <w:rPr>
          <w:rFonts w:ascii="inherit" w:hAnsi="inherit"/>
          <w:color w:val="050505"/>
          <w:sz w:val="20"/>
        </w:rPr>
      </w:pPr>
    </w:p>
    <w:p w:rsidR="00D37299" w:rsidRPr="008A5EDC" w:rsidRDefault="00D37299" w:rsidP="00D37299">
      <w:pPr>
        <w:rPr>
          <w:rFonts w:ascii="inherit" w:hAnsi="inherit"/>
          <w:color w:val="050505"/>
          <w:sz w:val="20"/>
        </w:rPr>
      </w:pPr>
      <w:r w:rsidRPr="008A5EDC">
        <w:rPr>
          <w:rFonts w:ascii="inherit" w:hAnsi="inherit"/>
          <w:color w:val="050505"/>
          <w:sz w:val="20"/>
        </w:rPr>
        <w:t>Name</w:t>
      </w:r>
    </w:p>
    <w:p w:rsidR="00D37299" w:rsidRPr="008A5EDC" w:rsidRDefault="00D37299" w:rsidP="00D37299">
      <w:pPr>
        <w:rPr>
          <w:rFonts w:ascii="inherit" w:hAnsi="inherit"/>
          <w:color w:val="050505"/>
          <w:sz w:val="20"/>
        </w:rPr>
      </w:pPr>
      <w:r w:rsidRPr="008A5EDC">
        <w:rPr>
          <w:rFonts w:ascii="inherit" w:hAnsi="inherit"/>
          <w:color w:val="050505"/>
          <w:sz w:val="20"/>
        </w:rPr>
        <w:t>City, CA</w:t>
      </w:r>
    </w:p>
    <w:p w:rsidR="00C62699" w:rsidRDefault="00C62699"/>
    <w:sectPr w:rsidR="00C6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Palatino"/>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99"/>
    <w:rsid w:val="003B21D5"/>
    <w:rsid w:val="00C62699"/>
    <w:rsid w:val="00D37299"/>
    <w:rsid w:val="00F9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C30C"/>
  <w15:chartTrackingRefBased/>
  <w15:docId w15:val="{16AE0846-A09A-314D-B5FB-D657F90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99"/>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Basse</dc:creator>
  <cp:keywords/>
  <dc:description/>
  <cp:lastModifiedBy>Mark Basse</cp:lastModifiedBy>
  <cp:revision>1</cp:revision>
  <dcterms:created xsi:type="dcterms:W3CDTF">2021-07-04T15:28:00Z</dcterms:created>
  <dcterms:modified xsi:type="dcterms:W3CDTF">2021-07-04T15:29:00Z</dcterms:modified>
</cp:coreProperties>
</file>